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D45D" w14:textId="2AB575E5" w:rsidR="00C468E8" w:rsidRPr="00F76117" w:rsidRDefault="00680491" w:rsidP="00F7611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611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242982" w:rsidRPr="00F76117">
        <w:rPr>
          <w:rFonts w:ascii="Open Sans" w:hAnsi="Open Sans" w:cs="Open Sans"/>
          <w:color w:val="auto"/>
          <w:sz w:val="22"/>
          <w:szCs w:val="22"/>
        </w:rPr>
        <w:t xml:space="preserve">5 </w:t>
      </w:r>
      <w:r w:rsidR="0052160E" w:rsidRPr="00F76117">
        <w:rPr>
          <w:rFonts w:ascii="Open Sans" w:hAnsi="Open Sans" w:cs="Open Sans"/>
          <w:color w:val="auto"/>
          <w:sz w:val="22"/>
          <w:szCs w:val="22"/>
        </w:rPr>
        <w:t>do Regulaminu</w:t>
      </w:r>
    </w:p>
    <w:p w14:paraId="31DD7676" w14:textId="18C62ECE" w:rsidR="00DA0BDF" w:rsidRPr="00F76117" w:rsidRDefault="00F94850" w:rsidP="00F76117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6117">
        <w:rPr>
          <w:rFonts w:ascii="Open Sans" w:hAnsi="Open Sans" w:cs="Open Sans"/>
          <w:b/>
          <w:bCs/>
          <w:color w:val="auto"/>
          <w:sz w:val="22"/>
          <w:szCs w:val="22"/>
        </w:rPr>
        <w:t>K</w:t>
      </w:r>
      <w:r w:rsidR="00E67FE4" w:rsidRPr="00F76117">
        <w:rPr>
          <w:rFonts w:ascii="Open Sans" w:hAnsi="Open Sans" w:cs="Open Sans"/>
          <w:b/>
          <w:bCs/>
          <w:color w:val="auto"/>
          <w:sz w:val="22"/>
          <w:szCs w:val="22"/>
        </w:rPr>
        <w:t>atalog wydatków kwalifikowalnych</w:t>
      </w:r>
      <w:r w:rsidR="00F76117">
        <w:rPr>
          <w:rFonts w:ascii="Open Sans" w:hAnsi="Open Sans" w:cs="Open Sans"/>
          <w:b/>
          <w:bCs/>
          <w:color w:val="auto"/>
          <w:sz w:val="22"/>
          <w:szCs w:val="22"/>
        </w:rPr>
        <w:br/>
      </w:r>
    </w:p>
    <w:p w14:paraId="2A0DF1DD" w14:textId="77777777" w:rsidR="00A627EB" w:rsidRDefault="0077016A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Wydatki muszą </w:t>
      </w:r>
      <w:r w:rsidR="000721D3" w:rsidRPr="00EA7697">
        <w:rPr>
          <w:rFonts w:ascii="Open Sans" w:hAnsi="Open Sans" w:cs="Open Sans"/>
          <w:bCs/>
          <w:sz w:val="22"/>
          <w:szCs w:val="22"/>
        </w:rPr>
        <w:t xml:space="preserve">spełniać </w:t>
      </w:r>
      <w:r w:rsidRPr="00EA7697">
        <w:rPr>
          <w:rFonts w:ascii="Open Sans" w:hAnsi="Open Sans" w:cs="Open Sans"/>
          <w:bCs/>
          <w:sz w:val="22"/>
          <w:szCs w:val="22"/>
        </w:rPr>
        <w:t>wymogi określone</w:t>
      </w:r>
      <w:r w:rsidR="003F05B5" w:rsidRPr="00EA7697">
        <w:rPr>
          <w:rFonts w:ascii="Open Sans" w:hAnsi="Open Sans" w:cs="Open Sans"/>
          <w:bCs/>
          <w:sz w:val="22"/>
          <w:szCs w:val="22"/>
        </w:rPr>
        <w:t xml:space="preserve"> </w:t>
      </w:r>
      <w:r w:rsidRPr="00EA7697">
        <w:rPr>
          <w:rFonts w:ascii="Open Sans" w:hAnsi="Open Sans" w:cs="Open Sans"/>
          <w:bCs/>
          <w:sz w:val="22"/>
          <w:szCs w:val="22"/>
        </w:rPr>
        <w:t>w</w:t>
      </w:r>
      <w:r w:rsidR="0052160E" w:rsidRPr="00EA7697">
        <w:rPr>
          <w:rFonts w:ascii="Open Sans" w:hAnsi="Open Sans" w:cs="Open Sans"/>
          <w:b/>
          <w:sz w:val="22"/>
          <w:szCs w:val="22"/>
        </w:rPr>
        <w:t xml:space="preserve"> </w:t>
      </w:r>
      <w:hyperlink r:id="rId8" w:history="1"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Wytyczny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ch 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dotyczący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ch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 kwalifikowalności wydatków na lata 2021-2027</w:t>
        </w:r>
      </w:hyperlink>
      <w:r w:rsidR="00124AE7" w:rsidRPr="00EA7697">
        <w:rPr>
          <w:rFonts w:ascii="Open Sans" w:hAnsi="Open Sans" w:cs="Open Sans"/>
          <w:b/>
          <w:sz w:val="22"/>
          <w:szCs w:val="22"/>
        </w:rPr>
        <w:t>.</w:t>
      </w:r>
    </w:p>
    <w:p w14:paraId="5C1132D7" w14:textId="40BA7E70" w:rsidR="00634BBB" w:rsidRPr="00C953A3" w:rsidRDefault="00634BBB" w:rsidP="00C953A3">
      <w:pPr>
        <w:pStyle w:val="Akapitzlist"/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C953A3">
        <w:rPr>
          <w:rFonts w:ascii="Open Sans" w:hAnsi="Open Sans" w:cs="Open Sans"/>
          <w:sz w:val="22"/>
          <w:szCs w:val="22"/>
        </w:rPr>
        <w:t>Za kwalifikowalne mogą zostać uznane wydatki poniesione na realizację projektów dotyczących wykupu gruntów, które są w szczególności:</w:t>
      </w:r>
    </w:p>
    <w:p w14:paraId="1AD841A4" w14:textId="77777777" w:rsidR="00634BBB" w:rsidRPr="00C953A3" w:rsidRDefault="00634BBB" w:rsidP="00C953A3">
      <w:pPr>
        <w:pStyle w:val="Akapitzlist"/>
        <w:numPr>
          <w:ilvl w:val="0"/>
          <w:numId w:val="35"/>
        </w:numPr>
        <w:spacing w:after="120" w:line="276" w:lineRule="auto"/>
        <w:ind w:left="1134" w:hanging="425"/>
        <w:contextualSpacing w:val="0"/>
        <w:rPr>
          <w:rFonts w:ascii="Open Sans" w:hAnsi="Open Sans" w:cs="Open Sans"/>
          <w:sz w:val="22"/>
          <w:szCs w:val="22"/>
        </w:rPr>
      </w:pPr>
      <w:r w:rsidRPr="00C953A3">
        <w:rPr>
          <w:rFonts w:ascii="Open Sans" w:hAnsi="Open Sans" w:cs="Open Sans"/>
          <w:sz w:val="22"/>
          <w:szCs w:val="22"/>
        </w:rPr>
        <w:t>zgodne z prawem, z SZOP oraz Regulaminem wyboru projektów,</w:t>
      </w:r>
    </w:p>
    <w:p w14:paraId="755AFAC1" w14:textId="77777777" w:rsidR="00634BBB" w:rsidRPr="00C953A3" w:rsidRDefault="00634BBB" w:rsidP="00C953A3">
      <w:pPr>
        <w:pStyle w:val="Akapitzlist"/>
        <w:numPr>
          <w:ilvl w:val="0"/>
          <w:numId w:val="35"/>
        </w:numPr>
        <w:spacing w:after="120" w:line="276" w:lineRule="auto"/>
        <w:ind w:left="1134" w:hanging="425"/>
        <w:contextualSpacing w:val="0"/>
        <w:rPr>
          <w:rFonts w:ascii="Open Sans" w:hAnsi="Open Sans" w:cs="Open Sans"/>
          <w:sz w:val="22"/>
          <w:szCs w:val="22"/>
        </w:rPr>
      </w:pPr>
      <w:r w:rsidRPr="00C953A3">
        <w:rPr>
          <w:rFonts w:ascii="Open Sans" w:hAnsi="Open Sans" w:cs="Open Sans"/>
          <w:sz w:val="22"/>
          <w:szCs w:val="22"/>
        </w:rPr>
        <w:t>niezbędne do realizacji celów projektu i zostały poniesione w związku z realizacją projektu,</w:t>
      </w:r>
    </w:p>
    <w:p w14:paraId="65411436" w14:textId="5938E307" w:rsidR="00634BBB" w:rsidRPr="00C953A3" w:rsidRDefault="00634BBB" w:rsidP="00C953A3">
      <w:pPr>
        <w:pStyle w:val="Akapitzlist"/>
        <w:numPr>
          <w:ilvl w:val="0"/>
          <w:numId w:val="35"/>
        </w:numPr>
        <w:spacing w:after="120" w:line="276" w:lineRule="auto"/>
        <w:ind w:left="1134" w:hanging="425"/>
        <w:contextualSpacing w:val="0"/>
        <w:rPr>
          <w:rFonts w:ascii="Open Sans" w:hAnsi="Open Sans" w:cs="Open Sans"/>
          <w:sz w:val="22"/>
          <w:szCs w:val="22"/>
        </w:rPr>
      </w:pPr>
      <w:r w:rsidRPr="00C953A3">
        <w:rPr>
          <w:rFonts w:ascii="Open Sans" w:hAnsi="Open Sans" w:cs="Open Sans"/>
          <w:sz w:val="22"/>
          <w:szCs w:val="22"/>
        </w:rPr>
        <w:t>dokonane w sposób przejrzysty, racjonalny i efektywny, z zachowaniem zasad uzyskiwania najlepszych efektów z danych nakładów.</w:t>
      </w:r>
    </w:p>
    <w:p w14:paraId="740480A0" w14:textId="77777777" w:rsidR="00A627EB" w:rsidRPr="00EA7697" w:rsidRDefault="00A627EB" w:rsidP="00C953A3">
      <w:pPr>
        <w:pStyle w:val="Akapitzlist"/>
        <w:numPr>
          <w:ilvl w:val="0"/>
          <w:numId w:val="33"/>
        </w:numPr>
        <w:spacing w:before="120" w:after="120" w:line="276" w:lineRule="auto"/>
        <w:ind w:left="709" w:hanging="349"/>
        <w:contextualSpacing w:val="0"/>
        <w:rPr>
          <w:rFonts w:ascii="Open Sans" w:hAnsi="Open Sans" w:cs="Open Sans"/>
          <w:bCs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>Wsparcie może zostać przeznaczone na</w:t>
      </w:r>
      <w:r w:rsidR="00FE0A49" w:rsidRPr="00EA7697">
        <w:rPr>
          <w:rFonts w:ascii="Open Sans" w:hAnsi="Open Sans" w:cs="Open Sans"/>
          <w:bCs/>
          <w:sz w:val="22"/>
          <w:szCs w:val="22"/>
        </w:rPr>
        <w:t>:</w:t>
      </w:r>
    </w:p>
    <w:p w14:paraId="6BC7760E" w14:textId="77777777" w:rsidR="00B92366" w:rsidRPr="00821ED1" w:rsidRDefault="00B92366" w:rsidP="00DB0A9F">
      <w:pPr>
        <w:pStyle w:val="Akapitzlist"/>
        <w:numPr>
          <w:ilvl w:val="1"/>
          <w:numId w:val="33"/>
        </w:numPr>
        <w:spacing w:after="80" w:line="276" w:lineRule="auto"/>
        <w:ind w:left="993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Koszty bezpośrednie:</w:t>
      </w:r>
    </w:p>
    <w:p w14:paraId="5E08E1B5" w14:textId="55A39529" w:rsidR="0052160E" w:rsidRPr="00AA2A48" w:rsidRDefault="00821ED1" w:rsidP="00DB0A9F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AA2A48">
        <w:rPr>
          <w:rFonts w:ascii="Open Sans" w:hAnsi="Open Sans" w:cs="Open Sans"/>
          <w:bCs/>
          <w:sz w:val="22"/>
          <w:szCs w:val="22"/>
        </w:rPr>
        <w:t>zakup nieruchomości</w:t>
      </w:r>
      <w:r w:rsidR="00AA2A48" w:rsidRPr="00AA2A48">
        <w:rPr>
          <w:rFonts w:ascii="Open Sans" w:hAnsi="Open Sans" w:cs="Open Sans"/>
          <w:bCs/>
          <w:sz w:val="22"/>
          <w:szCs w:val="22"/>
        </w:rPr>
        <w:t>, w tym nabycie udziału we własności nieruchomości, o ile łączny posiadany i nabyty przez park narodowy udział we własności nieruchomości przekroczy 1/2</w:t>
      </w:r>
      <w:r w:rsidR="0052160E" w:rsidRPr="00AA2A48">
        <w:rPr>
          <w:rFonts w:ascii="Open Sans" w:hAnsi="Open Sans" w:cs="Open Sans"/>
          <w:bCs/>
          <w:sz w:val="22"/>
          <w:szCs w:val="22"/>
        </w:rPr>
        <w:t>;</w:t>
      </w:r>
    </w:p>
    <w:p w14:paraId="2FF60F8A" w14:textId="3CE4D34B" w:rsidR="00634B36" w:rsidRPr="00487A05" w:rsidRDefault="002621E1" w:rsidP="00DB0A9F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487A05">
        <w:rPr>
          <w:rFonts w:ascii="Open Sans" w:hAnsi="Open Sans" w:cs="Open Sans"/>
          <w:sz w:val="22"/>
          <w:szCs w:val="22"/>
        </w:rPr>
        <w:t>p</w:t>
      </w:r>
      <w:r w:rsidR="00634B36" w:rsidRPr="00487A05">
        <w:rPr>
          <w:rFonts w:ascii="Open Sans" w:hAnsi="Open Sans" w:cs="Open Sans"/>
          <w:sz w:val="22"/>
          <w:szCs w:val="22"/>
        </w:rPr>
        <w:t>odatki i opłaty</w:t>
      </w:r>
      <w:r w:rsidR="00AA2A48" w:rsidRPr="00487A05">
        <w:rPr>
          <w:rFonts w:ascii="Open Sans" w:hAnsi="Open Sans" w:cs="Open Sans"/>
          <w:sz w:val="22"/>
          <w:szCs w:val="22"/>
        </w:rPr>
        <w:t>, w tym opłaty notarialne</w:t>
      </w:r>
      <w:r w:rsidRPr="00487A05">
        <w:rPr>
          <w:rFonts w:ascii="Open Sans" w:hAnsi="Open Sans" w:cs="Open Sans"/>
          <w:sz w:val="22"/>
          <w:szCs w:val="22"/>
        </w:rPr>
        <w:t>;</w:t>
      </w:r>
    </w:p>
    <w:p w14:paraId="73A1A0DA" w14:textId="6AD7DFB6" w:rsidR="0052160E" w:rsidRPr="00C953A3" w:rsidRDefault="00BC6E76" w:rsidP="00C953A3">
      <w:pPr>
        <w:pStyle w:val="Akapitzlist"/>
        <w:numPr>
          <w:ilvl w:val="2"/>
          <w:numId w:val="33"/>
        </w:numPr>
        <w:tabs>
          <w:tab w:val="left" w:pos="2410"/>
        </w:tabs>
        <w:spacing w:after="80" w:line="276" w:lineRule="auto"/>
        <w:ind w:left="1418" w:hanging="425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u</w:t>
      </w:r>
      <w:r w:rsidR="0052160E" w:rsidRPr="00821ED1">
        <w:rPr>
          <w:rFonts w:ascii="Open Sans" w:hAnsi="Open Sans" w:cs="Open Sans"/>
          <w:bCs/>
          <w:sz w:val="22"/>
          <w:szCs w:val="22"/>
        </w:rPr>
        <w:t>sługi zewnętrzne, w tym</w:t>
      </w:r>
      <w:r w:rsidR="00C953A3">
        <w:rPr>
          <w:rFonts w:ascii="Open Sans" w:hAnsi="Open Sans" w:cs="Open Sans"/>
          <w:bCs/>
          <w:sz w:val="22"/>
          <w:szCs w:val="22"/>
        </w:rPr>
        <w:t xml:space="preserve"> </w:t>
      </w:r>
      <w:r w:rsidR="0052160E" w:rsidRPr="00C953A3">
        <w:rPr>
          <w:rFonts w:ascii="Open Sans" w:hAnsi="Open Sans" w:cs="Open Sans"/>
          <w:bCs/>
          <w:sz w:val="22"/>
          <w:szCs w:val="22"/>
        </w:rPr>
        <w:t xml:space="preserve">opracowanie </w:t>
      </w:r>
      <w:r w:rsidR="00487A05" w:rsidRPr="00C953A3">
        <w:rPr>
          <w:rFonts w:ascii="Open Sans" w:hAnsi="Open Sans" w:cs="Open Sans"/>
          <w:bCs/>
          <w:sz w:val="22"/>
          <w:szCs w:val="22"/>
        </w:rPr>
        <w:t>operatów szacunkowych nieruchomości</w:t>
      </w:r>
      <w:r w:rsidR="0052160E" w:rsidRPr="00C953A3">
        <w:rPr>
          <w:rFonts w:ascii="Open Sans" w:hAnsi="Open Sans" w:cs="Open Sans"/>
          <w:bCs/>
          <w:sz w:val="22"/>
          <w:szCs w:val="22"/>
        </w:rPr>
        <w:t>;</w:t>
      </w:r>
    </w:p>
    <w:p w14:paraId="2F04086F" w14:textId="68ECAFCD" w:rsidR="00100409" w:rsidRPr="00EA7697" w:rsidRDefault="00124AE7" w:rsidP="00DB0A9F">
      <w:pPr>
        <w:pStyle w:val="Akapitzlist"/>
        <w:numPr>
          <w:ilvl w:val="1"/>
          <w:numId w:val="33"/>
        </w:numPr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Koszty pośrednie, o których mowa w Podrozdziale 3.12. </w:t>
      </w:r>
      <w:hyperlink r:id="rId9" w:history="1">
        <w:r w:rsidRPr="00EA7697">
          <w:rPr>
            <w:rFonts w:ascii="Open Sans" w:hAnsi="Open Sans" w:cs="Open Sans"/>
            <w:bCs/>
            <w:sz w:val="22"/>
            <w:szCs w:val="22"/>
          </w:rPr>
          <w:t>Wytycznych dotyczących kwalifikowalności wydatków na lata 2021-2027</w:t>
        </w:r>
      </w:hyperlink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zostały wyszczególnione w Katalogu kosztów pośrednich stanowiącym załącznik nr</w:t>
      </w:r>
      <w:r w:rsidR="00AD5AEA" w:rsidRPr="00EA7697">
        <w:rPr>
          <w:rFonts w:ascii="Open Sans" w:hAnsi="Open Sans" w:cs="Open Sans"/>
          <w:bCs/>
          <w:sz w:val="22"/>
          <w:szCs w:val="22"/>
        </w:rPr>
        <w:t> </w:t>
      </w:r>
      <w:r w:rsidR="00EA7697" w:rsidRPr="00EA7697">
        <w:rPr>
          <w:rFonts w:ascii="Open Sans" w:hAnsi="Open Sans" w:cs="Open Sans"/>
          <w:bCs/>
          <w:sz w:val="22"/>
          <w:szCs w:val="22"/>
        </w:rPr>
        <w:t>9</w:t>
      </w:r>
      <w:r w:rsidR="00AD5AEA" w:rsidRPr="00EA7697">
        <w:rPr>
          <w:rFonts w:ascii="Open Sans" w:hAnsi="Open Sans" w:cs="Open Sans"/>
          <w:bCs/>
          <w:sz w:val="22"/>
          <w:szCs w:val="22"/>
        </w:rPr>
        <w:t> </w:t>
      </w:r>
      <w:r w:rsidR="00100409" w:rsidRPr="00EA7697">
        <w:rPr>
          <w:rFonts w:ascii="Open Sans" w:hAnsi="Open Sans" w:cs="Open Sans"/>
          <w:bCs/>
          <w:sz w:val="22"/>
          <w:szCs w:val="22"/>
        </w:rPr>
        <w:t>do Regulaminu naboru Nr</w:t>
      </w:r>
      <w:r w:rsidR="007874E3" w:rsidRPr="00EA7697">
        <w:t xml:space="preserve"> </w:t>
      </w:r>
      <w:r w:rsidR="007874E3" w:rsidRPr="00EA7697">
        <w:rPr>
          <w:rFonts w:ascii="Open Sans" w:hAnsi="Open Sans" w:cs="Open Sans"/>
          <w:bCs/>
          <w:sz w:val="22"/>
          <w:szCs w:val="22"/>
        </w:rPr>
        <w:t>FENX.01.05-IW.01-00</w:t>
      </w:r>
      <w:r w:rsidR="00FD6EB2">
        <w:rPr>
          <w:rFonts w:ascii="Open Sans" w:hAnsi="Open Sans" w:cs="Open Sans"/>
          <w:bCs/>
          <w:sz w:val="22"/>
          <w:szCs w:val="22"/>
        </w:rPr>
        <w:t>2/26</w:t>
      </w:r>
      <w:r w:rsidR="007874E3" w:rsidRPr="00EA7697">
        <w:rPr>
          <w:rFonts w:ascii="Open Sans" w:hAnsi="Open Sans" w:cs="Open Sans"/>
          <w:bCs/>
          <w:sz w:val="22"/>
          <w:szCs w:val="22"/>
        </w:rPr>
        <w:t>.</w:t>
      </w:r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</w:t>
      </w:r>
    </w:p>
    <w:p w14:paraId="48C458EC" w14:textId="7154A964" w:rsidR="00F34AED" w:rsidRPr="00EA7697" w:rsidRDefault="00825A99" w:rsidP="00AD5AEA">
      <w:pPr>
        <w:pStyle w:val="Akapitzlist"/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sz w:val="22"/>
          <w:szCs w:val="22"/>
        </w:rPr>
        <w:t>Niedopuszczalna jest sytuacja, w której koszty pośrednie zostaną rozliczone w</w:t>
      </w:r>
      <w:r w:rsidR="00AD5AEA" w:rsidRPr="00EA7697">
        <w:rPr>
          <w:rFonts w:ascii="Open Sans" w:hAnsi="Open Sans" w:cs="Open Sans"/>
          <w:sz w:val="22"/>
          <w:szCs w:val="22"/>
        </w:rPr>
        <w:t> </w:t>
      </w:r>
      <w:r w:rsidRPr="00EA7697">
        <w:rPr>
          <w:rFonts w:ascii="Open Sans" w:hAnsi="Open Sans" w:cs="Open Sans"/>
          <w:sz w:val="22"/>
          <w:szCs w:val="22"/>
        </w:rPr>
        <w:t>ramach kosztów bezpośrednich.</w:t>
      </w:r>
    </w:p>
    <w:p w14:paraId="02568B58" w14:textId="3FF704BA" w:rsidR="00810860" w:rsidRPr="00951550" w:rsidRDefault="00951550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951550">
        <w:rPr>
          <w:rFonts w:ascii="Open Sans" w:hAnsi="Open Sans" w:cs="Open Sans"/>
          <w:sz w:val="22"/>
          <w:szCs w:val="22"/>
        </w:rPr>
        <w:t>Warunkiem kwalifikowalności zakupu nieruchomości zabudowanych, jest</w:t>
      </w:r>
      <w:r>
        <w:rPr>
          <w:rFonts w:ascii="Open Sans" w:hAnsi="Open Sans" w:cs="Open Sans"/>
          <w:sz w:val="22"/>
          <w:szCs w:val="22"/>
        </w:rPr>
        <w:t xml:space="preserve"> docelowe</w:t>
      </w:r>
      <w:r w:rsidRPr="00951550">
        <w:rPr>
          <w:rFonts w:ascii="Open Sans" w:hAnsi="Open Sans" w:cs="Open Sans"/>
          <w:sz w:val="22"/>
          <w:szCs w:val="22"/>
        </w:rPr>
        <w:t xml:space="preserve"> przeznaczenie znajdujących się na nich budynków do rozbiórki lub adaptacji na miejsca schronienia / rozrodu dla chronionych gatunków</w:t>
      </w:r>
      <w:r w:rsidR="00810860" w:rsidRPr="00951550">
        <w:rPr>
          <w:rFonts w:ascii="Open Sans" w:hAnsi="Open Sans" w:cs="Open Sans"/>
          <w:sz w:val="22"/>
          <w:szCs w:val="22"/>
        </w:rPr>
        <w:t>.</w:t>
      </w:r>
    </w:p>
    <w:p w14:paraId="660E2840" w14:textId="5F37F00D" w:rsidR="006F525D" w:rsidRPr="00C5243A" w:rsidRDefault="006F525D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C5243A">
        <w:rPr>
          <w:rFonts w:ascii="Open Sans" w:hAnsi="Open Sans" w:cs="Open Sans"/>
          <w:sz w:val="22"/>
          <w:szCs w:val="22"/>
        </w:rPr>
        <w:t xml:space="preserve">W ramach projektów nie będą </w:t>
      </w:r>
      <w:r w:rsidR="00777666" w:rsidRPr="00C5243A">
        <w:rPr>
          <w:rFonts w:ascii="Open Sans" w:hAnsi="Open Sans" w:cs="Open Sans"/>
          <w:sz w:val="22"/>
          <w:szCs w:val="22"/>
        </w:rPr>
        <w:t>kwalifikowalne</w:t>
      </w:r>
      <w:r w:rsidR="00DF055F" w:rsidRPr="00C5243A">
        <w:rPr>
          <w:rFonts w:ascii="Open Sans" w:hAnsi="Open Sans" w:cs="Open Sans"/>
          <w:sz w:val="22"/>
          <w:szCs w:val="22"/>
        </w:rPr>
        <w:t xml:space="preserve"> </w:t>
      </w:r>
      <w:r w:rsidR="00C5243A" w:rsidRPr="00C5243A">
        <w:rPr>
          <w:rFonts w:ascii="Open Sans" w:hAnsi="Open Sans" w:cs="Open Sans"/>
          <w:sz w:val="22"/>
          <w:szCs w:val="22"/>
        </w:rPr>
        <w:t>inne rodzaje wydatków, niż wskazane w pkt II. i III.</w:t>
      </w:r>
    </w:p>
    <w:p w14:paraId="43FA6D2F" w14:textId="40B096E4" w:rsidR="00110E12" w:rsidRPr="00565504" w:rsidRDefault="00F34AED" w:rsidP="00DB0A9F">
      <w:pPr>
        <w:pStyle w:val="Akapitzlist"/>
        <w:spacing w:before="120" w:after="120" w:line="276" w:lineRule="auto"/>
        <w:ind w:left="709" w:hanging="709"/>
        <w:contextualSpacing w:val="0"/>
      </w:pPr>
      <w:r w:rsidRPr="00565504">
        <w:rPr>
          <w:rFonts w:ascii="Open Sans" w:hAnsi="Open Sans" w:cs="Open Sans"/>
          <w:sz w:val="22"/>
          <w:szCs w:val="22"/>
        </w:rPr>
        <w:t>VI.</w:t>
      </w:r>
      <w:r w:rsidR="007874E3" w:rsidRPr="00565504">
        <w:rPr>
          <w:rFonts w:ascii="Open Sans" w:hAnsi="Open Sans" w:cs="Open Sans"/>
          <w:sz w:val="22"/>
          <w:szCs w:val="22"/>
        </w:rPr>
        <w:tab/>
      </w:r>
      <w:r w:rsidR="00125078" w:rsidRPr="00565504">
        <w:rPr>
          <w:rFonts w:ascii="Open Sans" w:hAnsi="Open Sans" w:cs="Open Sans"/>
          <w:sz w:val="22"/>
          <w:szCs w:val="22"/>
        </w:rPr>
        <w:t>Dodatkowo, w</w:t>
      </w:r>
      <w:r w:rsidR="00A511CE" w:rsidRPr="00565504">
        <w:rPr>
          <w:rFonts w:ascii="Open Sans" w:hAnsi="Open Sans" w:cs="Open Sans"/>
          <w:sz w:val="22"/>
          <w:szCs w:val="22"/>
        </w:rPr>
        <w:t>ydatkami niekwalifikowalnymi są wydatki wskazane w art. 64 rozporządzenia</w:t>
      </w:r>
      <w:r w:rsidR="00D74341" w:rsidRPr="00565504">
        <w:rPr>
          <w:rFonts w:ascii="Open Sans" w:hAnsi="Open Sans" w:cs="Open Sans"/>
          <w:sz w:val="22"/>
          <w:szCs w:val="22"/>
        </w:rPr>
        <w:t xml:space="preserve"> ogólnego</w:t>
      </w:r>
      <w:r w:rsidR="00A66F82" w:rsidRPr="00565504">
        <w:rPr>
          <w:rFonts w:ascii="Open Sans" w:hAnsi="Open Sans" w:cs="Open Sans"/>
          <w:sz w:val="22"/>
          <w:szCs w:val="22"/>
        </w:rPr>
        <w:t xml:space="preserve">, </w:t>
      </w:r>
      <w:r w:rsidR="00A511CE" w:rsidRPr="00565504">
        <w:rPr>
          <w:rFonts w:ascii="Open Sans" w:hAnsi="Open Sans" w:cs="Open Sans"/>
          <w:sz w:val="22"/>
          <w:szCs w:val="22"/>
        </w:rPr>
        <w:t>art. 7 ust. 1 i 5 rozporządzenia EFRR i FS, oraz</w:t>
      </w:r>
      <w:r w:rsidR="0052160E" w:rsidRPr="00565504">
        <w:rPr>
          <w:rFonts w:ascii="Open Sans" w:hAnsi="Open Sans" w:cs="Open Sans"/>
          <w:sz w:val="22"/>
          <w:szCs w:val="22"/>
        </w:rPr>
        <w:t xml:space="preserve"> </w:t>
      </w:r>
      <w:r w:rsidR="0052160E" w:rsidRPr="00565504">
        <w:rPr>
          <w:rFonts w:ascii="Open Sans" w:hAnsi="Open Sans" w:cs="Open Sans"/>
          <w:sz w:val="22"/>
          <w:szCs w:val="22"/>
        </w:rPr>
        <w:lastRenderedPageBreak/>
        <w:t xml:space="preserve">podrozdziale 2.3. Wydatki niekwalifikowalne </w:t>
      </w:r>
      <w:hyperlink r:id="rId10" w:history="1">
        <w:r w:rsidR="0052160E" w:rsidRPr="00565504">
          <w:rPr>
            <w:rStyle w:val="Hipercze"/>
            <w:rFonts w:ascii="Open Sans" w:hAnsi="Open Sans" w:cs="Open Sans"/>
            <w:color w:val="auto"/>
            <w:sz w:val="22"/>
            <w:szCs w:val="22"/>
          </w:rPr>
          <w:t>Wytycznych dotyczących kwalifikowalności na lata 2021-2027</w:t>
        </w:r>
      </w:hyperlink>
      <w:r w:rsidR="00BC6E76" w:rsidRPr="00565504">
        <w:rPr>
          <w:rFonts w:ascii="Open Sans" w:hAnsi="Open Sans" w:cs="Open Sans"/>
          <w:sz w:val="22"/>
          <w:szCs w:val="22"/>
        </w:rPr>
        <w:t>.</w:t>
      </w:r>
    </w:p>
    <w:sectPr w:rsidR="00110E12" w:rsidRPr="00565504" w:rsidSect="00515FB1"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BAFD5" w14:textId="77777777" w:rsidR="001A0800" w:rsidRDefault="001A0800">
      <w:r>
        <w:separator/>
      </w:r>
    </w:p>
  </w:endnote>
  <w:endnote w:type="continuationSeparator" w:id="0">
    <w:p w14:paraId="7434A22C" w14:textId="77777777" w:rsidR="001A0800" w:rsidRDefault="001A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554E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C7510" w14:textId="77777777" w:rsidR="003E70AC" w:rsidRDefault="003E70AC" w:rsidP="00447A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85C7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71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26D63E" w14:textId="77777777" w:rsidR="003E70AC" w:rsidRDefault="003E70AC" w:rsidP="00447A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9DB8" w14:textId="77777777" w:rsidR="001A0800" w:rsidRDefault="001A0800">
      <w:r>
        <w:separator/>
      </w:r>
    </w:p>
  </w:footnote>
  <w:footnote w:type="continuationSeparator" w:id="0">
    <w:p w14:paraId="708C6B06" w14:textId="77777777" w:rsidR="001A0800" w:rsidRDefault="001A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C7C6" w14:textId="51EB155F" w:rsidR="00FC73C9" w:rsidRDefault="00FC78A3">
    <w:pPr>
      <w:pStyle w:val="Nagwek"/>
    </w:pPr>
    <w:r>
      <w:rPr>
        <w:noProof/>
      </w:rPr>
      <w:drawing>
        <wp:inline distT="0" distB="0" distL="0" distR="0" wp14:anchorId="0840168B" wp14:editId="7140CEA4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46"/>
    <w:multiLevelType w:val="hybridMultilevel"/>
    <w:tmpl w:val="CCA43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D53E2"/>
    <w:multiLevelType w:val="hybridMultilevel"/>
    <w:tmpl w:val="66EE1644"/>
    <w:lvl w:ilvl="0" w:tplc="04150017">
      <w:start w:val="1"/>
      <w:numFmt w:val="lowerLetter"/>
      <w:lvlText w:val="%1)"/>
      <w:lvlJc w:val="left"/>
      <w:pPr>
        <w:ind w:left="2743" w:hanging="360"/>
      </w:pPr>
    </w:lvl>
    <w:lvl w:ilvl="1" w:tplc="04150019" w:tentative="1">
      <w:start w:val="1"/>
      <w:numFmt w:val="lowerLetter"/>
      <w:lvlText w:val="%2."/>
      <w:lvlJc w:val="left"/>
      <w:pPr>
        <w:ind w:left="3463" w:hanging="360"/>
      </w:pPr>
    </w:lvl>
    <w:lvl w:ilvl="2" w:tplc="0415001B" w:tentative="1">
      <w:start w:val="1"/>
      <w:numFmt w:val="lowerRoman"/>
      <w:lvlText w:val="%3."/>
      <w:lvlJc w:val="right"/>
      <w:pPr>
        <w:ind w:left="4183" w:hanging="180"/>
      </w:pPr>
    </w:lvl>
    <w:lvl w:ilvl="3" w:tplc="0415000F" w:tentative="1">
      <w:start w:val="1"/>
      <w:numFmt w:val="decimal"/>
      <w:lvlText w:val="%4."/>
      <w:lvlJc w:val="left"/>
      <w:pPr>
        <w:ind w:left="4903" w:hanging="360"/>
      </w:pPr>
    </w:lvl>
    <w:lvl w:ilvl="4" w:tplc="04150019" w:tentative="1">
      <w:start w:val="1"/>
      <w:numFmt w:val="lowerLetter"/>
      <w:lvlText w:val="%5."/>
      <w:lvlJc w:val="left"/>
      <w:pPr>
        <w:ind w:left="5623" w:hanging="360"/>
      </w:pPr>
    </w:lvl>
    <w:lvl w:ilvl="5" w:tplc="0415001B" w:tentative="1">
      <w:start w:val="1"/>
      <w:numFmt w:val="lowerRoman"/>
      <w:lvlText w:val="%6."/>
      <w:lvlJc w:val="right"/>
      <w:pPr>
        <w:ind w:left="6343" w:hanging="180"/>
      </w:pPr>
    </w:lvl>
    <w:lvl w:ilvl="6" w:tplc="0415000F" w:tentative="1">
      <w:start w:val="1"/>
      <w:numFmt w:val="decimal"/>
      <w:lvlText w:val="%7."/>
      <w:lvlJc w:val="left"/>
      <w:pPr>
        <w:ind w:left="7063" w:hanging="360"/>
      </w:pPr>
    </w:lvl>
    <w:lvl w:ilvl="7" w:tplc="04150019" w:tentative="1">
      <w:start w:val="1"/>
      <w:numFmt w:val="lowerLetter"/>
      <w:lvlText w:val="%8."/>
      <w:lvlJc w:val="left"/>
      <w:pPr>
        <w:ind w:left="7783" w:hanging="360"/>
      </w:pPr>
    </w:lvl>
    <w:lvl w:ilvl="8" w:tplc="0415001B" w:tentative="1">
      <w:start w:val="1"/>
      <w:numFmt w:val="lowerRoman"/>
      <w:lvlText w:val="%9."/>
      <w:lvlJc w:val="right"/>
      <w:pPr>
        <w:ind w:left="8503" w:hanging="180"/>
      </w:pPr>
    </w:lvl>
  </w:abstractNum>
  <w:abstractNum w:abstractNumId="2" w15:restartNumberingAfterBreak="0">
    <w:nsid w:val="075E631A"/>
    <w:multiLevelType w:val="hybridMultilevel"/>
    <w:tmpl w:val="2ADED4A8"/>
    <w:lvl w:ilvl="0" w:tplc="EDEA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B77D73"/>
    <w:multiLevelType w:val="hybridMultilevel"/>
    <w:tmpl w:val="6B306D66"/>
    <w:lvl w:ilvl="0" w:tplc="1464A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2A27FD"/>
    <w:multiLevelType w:val="hybridMultilevel"/>
    <w:tmpl w:val="158E51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8333A6"/>
    <w:multiLevelType w:val="hybridMultilevel"/>
    <w:tmpl w:val="D0F83F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C095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58FB"/>
    <w:multiLevelType w:val="hybridMultilevel"/>
    <w:tmpl w:val="17EAC2E2"/>
    <w:lvl w:ilvl="0" w:tplc="F7F2829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D66A9"/>
    <w:multiLevelType w:val="hybridMultilevel"/>
    <w:tmpl w:val="A0AEA59E"/>
    <w:lvl w:ilvl="0" w:tplc="05DE5FC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562D7"/>
    <w:multiLevelType w:val="hybridMultilevel"/>
    <w:tmpl w:val="20A47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72F0E"/>
    <w:multiLevelType w:val="hybridMultilevel"/>
    <w:tmpl w:val="3502ED72"/>
    <w:lvl w:ilvl="0" w:tplc="0ACA2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C84835"/>
    <w:multiLevelType w:val="hybridMultilevel"/>
    <w:tmpl w:val="59F4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E3E1B"/>
    <w:multiLevelType w:val="hybridMultilevel"/>
    <w:tmpl w:val="1DFA5F00"/>
    <w:lvl w:ilvl="0" w:tplc="E746F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433FC"/>
    <w:multiLevelType w:val="hybridMultilevel"/>
    <w:tmpl w:val="2934234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E1CA9"/>
    <w:multiLevelType w:val="hybridMultilevel"/>
    <w:tmpl w:val="7E24CAB6"/>
    <w:lvl w:ilvl="0" w:tplc="1D7A4FEC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23FF8"/>
    <w:multiLevelType w:val="hybridMultilevel"/>
    <w:tmpl w:val="D59C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46DCB"/>
    <w:multiLevelType w:val="hybridMultilevel"/>
    <w:tmpl w:val="83DAC2F8"/>
    <w:lvl w:ilvl="0" w:tplc="979CD7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8F6586"/>
    <w:multiLevelType w:val="hybridMultilevel"/>
    <w:tmpl w:val="92B235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B387AD4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1C3A66A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057C7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44552A63"/>
    <w:multiLevelType w:val="hybridMultilevel"/>
    <w:tmpl w:val="B4EEA4A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0D0317"/>
    <w:multiLevelType w:val="hybridMultilevel"/>
    <w:tmpl w:val="74740ED6"/>
    <w:lvl w:ilvl="0" w:tplc="7218669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EF26C37"/>
    <w:multiLevelType w:val="hybridMultilevel"/>
    <w:tmpl w:val="86DAFFDE"/>
    <w:lvl w:ilvl="0" w:tplc="4D7E67A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F6EAA"/>
    <w:multiLevelType w:val="hybridMultilevel"/>
    <w:tmpl w:val="9FAC0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25BD7"/>
    <w:multiLevelType w:val="hybridMultilevel"/>
    <w:tmpl w:val="2A161112"/>
    <w:lvl w:ilvl="0" w:tplc="0415001B">
      <w:start w:val="1"/>
      <w:numFmt w:val="lowerRoman"/>
      <w:lvlText w:val="%1."/>
      <w:lvlJc w:val="right"/>
      <w:pPr>
        <w:ind w:left="248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3" w15:restartNumberingAfterBreak="0">
    <w:nsid w:val="58771F0C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5BE9412A"/>
    <w:multiLevelType w:val="hybridMultilevel"/>
    <w:tmpl w:val="24F8C760"/>
    <w:lvl w:ilvl="0" w:tplc="397834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B012C"/>
    <w:multiLevelType w:val="hybridMultilevel"/>
    <w:tmpl w:val="2F5ADD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D27B0F"/>
    <w:multiLevelType w:val="hybridMultilevel"/>
    <w:tmpl w:val="03507B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5ACC2C6">
      <w:start w:val="10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6392"/>
    <w:multiLevelType w:val="hybridMultilevel"/>
    <w:tmpl w:val="86946F70"/>
    <w:lvl w:ilvl="0" w:tplc="9440EA0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637E57"/>
    <w:multiLevelType w:val="hybridMultilevel"/>
    <w:tmpl w:val="B5529342"/>
    <w:lvl w:ilvl="0" w:tplc="306CE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005572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63812B08"/>
    <w:multiLevelType w:val="hybridMultilevel"/>
    <w:tmpl w:val="0C58EDF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5B497F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34885"/>
    <w:multiLevelType w:val="hybridMultilevel"/>
    <w:tmpl w:val="B0484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21A3D"/>
    <w:multiLevelType w:val="hybridMultilevel"/>
    <w:tmpl w:val="83A612AC"/>
    <w:lvl w:ilvl="0" w:tplc="F13C1CFA">
      <w:start w:val="4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215A4"/>
    <w:multiLevelType w:val="hybridMultilevel"/>
    <w:tmpl w:val="0A20AE5E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26742">
    <w:abstractNumId w:val="16"/>
  </w:num>
  <w:num w:numId="2" w16cid:durableId="2019888179">
    <w:abstractNumId w:val="32"/>
  </w:num>
  <w:num w:numId="3" w16cid:durableId="998969688">
    <w:abstractNumId w:val="5"/>
  </w:num>
  <w:num w:numId="4" w16cid:durableId="32003885">
    <w:abstractNumId w:val="1"/>
  </w:num>
  <w:num w:numId="5" w16cid:durableId="713315701">
    <w:abstractNumId w:val="26"/>
  </w:num>
  <w:num w:numId="6" w16cid:durableId="612901090">
    <w:abstractNumId w:val="24"/>
  </w:num>
  <w:num w:numId="7" w16cid:durableId="1066226200">
    <w:abstractNumId w:val="19"/>
  </w:num>
  <w:num w:numId="8" w16cid:durableId="392117404">
    <w:abstractNumId w:val="8"/>
  </w:num>
  <w:num w:numId="9" w16cid:durableId="1597441063">
    <w:abstractNumId w:val="20"/>
  </w:num>
  <w:num w:numId="10" w16cid:durableId="1761873069">
    <w:abstractNumId w:val="34"/>
  </w:num>
  <w:num w:numId="11" w16cid:durableId="1983387373">
    <w:abstractNumId w:val="18"/>
  </w:num>
  <w:num w:numId="12" w16cid:durableId="1120539253">
    <w:abstractNumId w:val="30"/>
  </w:num>
  <w:num w:numId="13" w16cid:durableId="1344356803">
    <w:abstractNumId w:val="15"/>
  </w:num>
  <w:num w:numId="14" w16cid:durableId="664210214">
    <w:abstractNumId w:val="21"/>
  </w:num>
  <w:num w:numId="15" w16cid:durableId="1832402155">
    <w:abstractNumId w:val="33"/>
  </w:num>
  <w:num w:numId="16" w16cid:durableId="1149787939">
    <w:abstractNumId w:val="31"/>
  </w:num>
  <w:num w:numId="17" w16cid:durableId="182600252">
    <w:abstractNumId w:val="12"/>
  </w:num>
  <w:num w:numId="18" w16cid:durableId="962155355">
    <w:abstractNumId w:val="14"/>
  </w:num>
  <w:num w:numId="19" w16cid:durableId="307980156">
    <w:abstractNumId w:val="27"/>
  </w:num>
  <w:num w:numId="20" w16cid:durableId="1579166339">
    <w:abstractNumId w:val="28"/>
  </w:num>
  <w:num w:numId="21" w16cid:durableId="245461699">
    <w:abstractNumId w:val="3"/>
  </w:num>
  <w:num w:numId="22" w16cid:durableId="93791917">
    <w:abstractNumId w:val="2"/>
  </w:num>
  <w:num w:numId="23" w16cid:durableId="1962148479">
    <w:abstractNumId w:val="7"/>
  </w:num>
  <w:num w:numId="24" w16cid:durableId="2071340845">
    <w:abstractNumId w:val="6"/>
  </w:num>
  <w:num w:numId="25" w16cid:durableId="600182392">
    <w:abstractNumId w:val="10"/>
  </w:num>
  <w:num w:numId="26" w16cid:durableId="1184436053">
    <w:abstractNumId w:val="22"/>
  </w:num>
  <w:num w:numId="27" w16cid:durableId="1732460578">
    <w:abstractNumId w:val="9"/>
  </w:num>
  <w:num w:numId="28" w16cid:durableId="638648937">
    <w:abstractNumId w:val="29"/>
  </w:num>
  <w:num w:numId="29" w16cid:durableId="359555274">
    <w:abstractNumId w:val="23"/>
  </w:num>
  <w:num w:numId="30" w16cid:durableId="1595359649">
    <w:abstractNumId w:val="17"/>
  </w:num>
  <w:num w:numId="31" w16cid:durableId="85737079">
    <w:abstractNumId w:val="0"/>
  </w:num>
  <w:num w:numId="32" w16cid:durableId="275018690">
    <w:abstractNumId w:val="11"/>
  </w:num>
  <w:num w:numId="33" w16cid:durableId="694423982">
    <w:abstractNumId w:val="13"/>
  </w:num>
  <w:num w:numId="34" w16cid:durableId="13650544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961069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6"/>
    <w:rsid w:val="00002DA9"/>
    <w:rsid w:val="000216E0"/>
    <w:rsid w:val="00023359"/>
    <w:rsid w:val="00025496"/>
    <w:rsid w:val="00025672"/>
    <w:rsid w:val="000277D6"/>
    <w:rsid w:val="0003168B"/>
    <w:rsid w:val="0003222E"/>
    <w:rsid w:val="00037FB3"/>
    <w:rsid w:val="000405C8"/>
    <w:rsid w:val="00044D24"/>
    <w:rsid w:val="0005402A"/>
    <w:rsid w:val="00056687"/>
    <w:rsid w:val="000569EF"/>
    <w:rsid w:val="0006577B"/>
    <w:rsid w:val="000721D3"/>
    <w:rsid w:val="00093736"/>
    <w:rsid w:val="000A5996"/>
    <w:rsid w:val="000B0C70"/>
    <w:rsid w:val="000C163C"/>
    <w:rsid w:val="000D0528"/>
    <w:rsid w:val="000D7B56"/>
    <w:rsid w:val="000E118C"/>
    <w:rsid w:val="000F2EDA"/>
    <w:rsid w:val="00100409"/>
    <w:rsid w:val="0010496B"/>
    <w:rsid w:val="0011035B"/>
    <w:rsid w:val="00110E12"/>
    <w:rsid w:val="00111BD6"/>
    <w:rsid w:val="00114803"/>
    <w:rsid w:val="0012312E"/>
    <w:rsid w:val="00124AE7"/>
    <w:rsid w:val="00124FBD"/>
    <w:rsid w:val="00125078"/>
    <w:rsid w:val="00163C1D"/>
    <w:rsid w:val="001668BF"/>
    <w:rsid w:val="001724FB"/>
    <w:rsid w:val="001726B0"/>
    <w:rsid w:val="001756E8"/>
    <w:rsid w:val="001A0800"/>
    <w:rsid w:val="001A164F"/>
    <w:rsid w:val="001A4A4E"/>
    <w:rsid w:val="001D6EC4"/>
    <w:rsid w:val="001F1DCB"/>
    <w:rsid w:val="00204174"/>
    <w:rsid w:val="0021751B"/>
    <w:rsid w:val="00221C08"/>
    <w:rsid w:val="002229BB"/>
    <w:rsid w:val="00242982"/>
    <w:rsid w:val="002469D2"/>
    <w:rsid w:val="00252CCB"/>
    <w:rsid w:val="00255CF6"/>
    <w:rsid w:val="002621E1"/>
    <w:rsid w:val="00263CAE"/>
    <w:rsid w:val="0026656D"/>
    <w:rsid w:val="002735BD"/>
    <w:rsid w:val="00275FCB"/>
    <w:rsid w:val="002764E9"/>
    <w:rsid w:val="002A6ED0"/>
    <w:rsid w:val="002B2B8F"/>
    <w:rsid w:val="002B3E88"/>
    <w:rsid w:val="002B5B4D"/>
    <w:rsid w:val="002C54BE"/>
    <w:rsid w:val="002E233A"/>
    <w:rsid w:val="002F12B7"/>
    <w:rsid w:val="00310052"/>
    <w:rsid w:val="0032146A"/>
    <w:rsid w:val="003238A5"/>
    <w:rsid w:val="003248A9"/>
    <w:rsid w:val="0034577C"/>
    <w:rsid w:val="00355C6B"/>
    <w:rsid w:val="00356DDA"/>
    <w:rsid w:val="00357F5D"/>
    <w:rsid w:val="00361588"/>
    <w:rsid w:val="00375BF8"/>
    <w:rsid w:val="003771FC"/>
    <w:rsid w:val="003A2536"/>
    <w:rsid w:val="003B05B3"/>
    <w:rsid w:val="003B5428"/>
    <w:rsid w:val="003B5F58"/>
    <w:rsid w:val="003C2181"/>
    <w:rsid w:val="003D0734"/>
    <w:rsid w:val="003D0CB1"/>
    <w:rsid w:val="003D4654"/>
    <w:rsid w:val="003E70AC"/>
    <w:rsid w:val="003F0256"/>
    <w:rsid w:val="003F05B5"/>
    <w:rsid w:val="003F3F07"/>
    <w:rsid w:val="00404524"/>
    <w:rsid w:val="00420428"/>
    <w:rsid w:val="00420E66"/>
    <w:rsid w:val="00436442"/>
    <w:rsid w:val="00446211"/>
    <w:rsid w:val="004468EF"/>
    <w:rsid w:val="00447A90"/>
    <w:rsid w:val="00451E4C"/>
    <w:rsid w:val="004712BF"/>
    <w:rsid w:val="00475128"/>
    <w:rsid w:val="004774B5"/>
    <w:rsid w:val="00477AAA"/>
    <w:rsid w:val="00480C3B"/>
    <w:rsid w:val="00487A05"/>
    <w:rsid w:val="00494512"/>
    <w:rsid w:val="004A3A57"/>
    <w:rsid w:val="004A7CBF"/>
    <w:rsid w:val="004B1413"/>
    <w:rsid w:val="004C1069"/>
    <w:rsid w:val="004D0F57"/>
    <w:rsid w:val="004D30E9"/>
    <w:rsid w:val="004E7E66"/>
    <w:rsid w:val="004F0C1C"/>
    <w:rsid w:val="004F21F6"/>
    <w:rsid w:val="004F4386"/>
    <w:rsid w:val="00504E7D"/>
    <w:rsid w:val="00514C72"/>
    <w:rsid w:val="00514D52"/>
    <w:rsid w:val="00515FB1"/>
    <w:rsid w:val="0052160E"/>
    <w:rsid w:val="00532485"/>
    <w:rsid w:val="00535A3B"/>
    <w:rsid w:val="005446C4"/>
    <w:rsid w:val="005574BF"/>
    <w:rsid w:val="00557D4D"/>
    <w:rsid w:val="00560CCE"/>
    <w:rsid w:val="00563BE4"/>
    <w:rsid w:val="00563EB2"/>
    <w:rsid w:val="00565504"/>
    <w:rsid w:val="00565CF2"/>
    <w:rsid w:val="00572B38"/>
    <w:rsid w:val="0059431B"/>
    <w:rsid w:val="005A3F19"/>
    <w:rsid w:val="005B4CE6"/>
    <w:rsid w:val="005C4235"/>
    <w:rsid w:val="005C6281"/>
    <w:rsid w:val="005D493E"/>
    <w:rsid w:val="005D60BB"/>
    <w:rsid w:val="005E338E"/>
    <w:rsid w:val="005F38F5"/>
    <w:rsid w:val="005F749F"/>
    <w:rsid w:val="006046D7"/>
    <w:rsid w:val="00611D36"/>
    <w:rsid w:val="0061452C"/>
    <w:rsid w:val="00634B36"/>
    <w:rsid w:val="00634BBB"/>
    <w:rsid w:val="006373C2"/>
    <w:rsid w:val="00640304"/>
    <w:rsid w:val="00646DC4"/>
    <w:rsid w:val="00647D8D"/>
    <w:rsid w:val="00657C9A"/>
    <w:rsid w:val="00661BB7"/>
    <w:rsid w:val="00662F2D"/>
    <w:rsid w:val="006704D2"/>
    <w:rsid w:val="00680491"/>
    <w:rsid w:val="006826C2"/>
    <w:rsid w:val="00691195"/>
    <w:rsid w:val="00692829"/>
    <w:rsid w:val="00695B47"/>
    <w:rsid w:val="006A2180"/>
    <w:rsid w:val="006A4000"/>
    <w:rsid w:val="006B1A7D"/>
    <w:rsid w:val="006B6BCE"/>
    <w:rsid w:val="006D6210"/>
    <w:rsid w:val="006E0B98"/>
    <w:rsid w:val="006F525D"/>
    <w:rsid w:val="006F69A1"/>
    <w:rsid w:val="006F6A5C"/>
    <w:rsid w:val="00704536"/>
    <w:rsid w:val="00765E08"/>
    <w:rsid w:val="0077016A"/>
    <w:rsid w:val="007738B4"/>
    <w:rsid w:val="00777666"/>
    <w:rsid w:val="007874E3"/>
    <w:rsid w:val="007969C6"/>
    <w:rsid w:val="007B1DC1"/>
    <w:rsid w:val="007B53F1"/>
    <w:rsid w:val="007D410F"/>
    <w:rsid w:val="007E255C"/>
    <w:rsid w:val="007F786B"/>
    <w:rsid w:val="00806ABC"/>
    <w:rsid w:val="00810860"/>
    <w:rsid w:val="00821ED1"/>
    <w:rsid w:val="00825A99"/>
    <w:rsid w:val="008322BF"/>
    <w:rsid w:val="0084705A"/>
    <w:rsid w:val="00852DA4"/>
    <w:rsid w:val="008543F1"/>
    <w:rsid w:val="00864ED2"/>
    <w:rsid w:val="00866F5A"/>
    <w:rsid w:val="00870C19"/>
    <w:rsid w:val="00872225"/>
    <w:rsid w:val="008A05E7"/>
    <w:rsid w:val="008A33D2"/>
    <w:rsid w:val="008A3CE2"/>
    <w:rsid w:val="008B1224"/>
    <w:rsid w:val="008B233B"/>
    <w:rsid w:val="008C3564"/>
    <w:rsid w:val="008C6C74"/>
    <w:rsid w:val="008E0CA6"/>
    <w:rsid w:val="008F57F7"/>
    <w:rsid w:val="008F66AE"/>
    <w:rsid w:val="008F7275"/>
    <w:rsid w:val="00900042"/>
    <w:rsid w:val="00901DC8"/>
    <w:rsid w:val="00902987"/>
    <w:rsid w:val="00907974"/>
    <w:rsid w:val="00932EC8"/>
    <w:rsid w:val="00940A0F"/>
    <w:rsid w:val="009431DA"/>
    <w:rsid w:val="00951542"/>
    <w:rsid w:val="00951550"/>
    <w:rsid w:val="009516E9"/>
    <w:rsid w:val="00952737"/>
    <w:rsid w:val="009600B2"/>
    <w:rsid w:val="00961F0C"/>
    <w:rsid w:val="00965C69"/>
    <w:rsid w:val="009731AF"/>
    <w:rsid w:val="0099335C"/>
    <w:rsid w:val="009A74E6"/>
    <w:rsid w:val="009B2683"/>
    <w:rsid w:val="009B3601"/>
    <w:rsid w:val="009C63D2"/>
    <w:rsid w:val="009E7456"/>
    <w:rsid w:val="009F46D8"/>
    <w:rsid w:val="009F5D02"/>
    <w:rsid w:val="00A00B21"/>
    <w:rsid w:val="00A01B40"/>
    <w:rsid w:val="00A020BB"/>
    <w:rsid w:val="00A03E87"/>
    <w:rsid w:val="00A10809"/>
    <w:rsid w:val="00A23EEA"/>
    <w:rsid w:val="00A240D5"/>
    <w:rsid w:val="00A2740B"/>
    <w:rsid w:val="00A36F65"/>
    <w:rsid w:val="00A511CE"/>
    <w:rsid w:val="00A627EB"/>
    <w:rsid w:val="00A65664"/>
    <w:rsid w:val="00A66B1B"/>
    <w:rsid w:val="00A66F82"/>
    <w:rsid w:val="00A923A3"/>
    <w:rsid w:val="00AA28F6"/>
    <w:rsid w:val="00AA2A48"/>
    <w:rsid w:val="00AB61A0"/>
    <w:rsid w:val="00AC221D"/>
    <w:rsid w:val="00AD008A"/>
    <w:rsid w:val="00AD2895"/>
    <w:rsid w:val="00AD5AEA"/>
    <w:rsid w:val="00AE1D70"/>
    <w:rsid w:val="00AE579D"/>
    <w:rsid w:val="00AE71C9"/>
    <w:rsid w:val="00B02E6B"/>
    <w:rsid w:val="00B053E6"/>
    <w:rsid w:val="00B07B2B"/>
    <w:rsid w:val="00B1262C"/>
    <w:rsid w:val="00B22EFB"/>
    <w:rsid w:val="00B30F08"/>
    <w:rsid w:val="00B50C43"/>
    <w:rsid w:val="00B54438"/>
    <w:rsid w:val="00B76A50"/>
    <w:rsid w:val="00B866ED"/>
    <w:rsid w:val="00B92366"/>
    <w:rsid w:val="00B941B9"/>
    <w:rsid w:val="00BA4EBE"/>
    <w:rsid w:val="00BB3CE2"/>
    <w:rsid w:val="00BC6E76"/>
    <w:rsid w:val="00BD2704"/>
    <w:rsid w:val="00BE4EBC"/>
    <w:rsid w:val="00BF05AE"/>
    <w:rsid w:val="00C003DC"/>
    <w:rsid w:val="00C10B4C"/>
    <w:rsid w:val="00C26B28"/>
    <w:rsid w:val="00C33F6C"/>
    <w:rsid w:val="00C36094"/>
    <w:rsid w:val="00C468E8"/>
    <w:rsid w:val="00C5243A"/>
    <w:rsid w:val="00C64399"/>
    <w:rsid w:val="00C67A1E"/>
    <w:rsid w:val="00C743D7"/>
    <w:rsid w:val="00C75A2C"/>
    <w:rsid w:val="00C93715"/>
    <w:rsid w:val="00C953A3"/>
    <w:rsid w:val="00CA7B55"/>
    <w:rsid w:val="00CB1EAC"/>
    <w:rsid w:val="00CB3989"/>
    <w:rsid w:val="00CB5969"/>
    <w:rsid w:val="00CC4651"/>
    <w:rsid w:val="00CD4024"/>
    <w:rsid w:val="00CE517E"/>
    <w:rsid w:val="00D0386E"/>
    <w:rsid w:val="00D04DB2"/>
    <w:rsid w:val="00D14309"/>
    <w:rsid w:val="00D2188C"/>
    <w:rsid w:val="00D37B3C"/>
    <w:rsid w:val="00D37EEB"/>
    <w:rsid w:val="00D608D3"/>
    <w:rsid w:val="00D74341"/>
    <w:rsid w:val="00D838C9"/>
    <w:rsid w:val="00D87ABB"/>
    <w:rsid w:val="00D908E9"/>
    <w:rsid w:val="00DA0BDF"/>
    <w:rsid w:val="00DA584C"/>
    <w:rsid w:val="00DB0A9F"/>
    <w:rsid w:val="00DC4318"/>
    <w:rsid w:val="00DC5189"/>
    <w:rsid w:val="00DE0D9A"/>
    <w:rsid w:val="00DE229B"/>
    <w:rsid w:val="00DF055F"/>
    <w:rsid w:val="00DF7EEB"/>
    <w:rsid w:val="00E02D1A"/>
    <w:rsid w:val="00E02E7F"/>
    <w:rsid w:val="00E133A1"/>
    <w:rsid w:val="00E176D5"/>
    <w:rsid w:val="00E21EE3"/>
    <w:rsid w:val="00E41917"/>
    <w:rsid w:val="00E43DA7"/>
    <w:rsid w:val="00E45E20"/>
    <w:rsid w:val="00E47638"/>
    <w:rsid w:val="00E51D16"/>
    <w:rsid w:val="00E55FC7"/>
    <w:rsid w:val="00E62656"/>
    <w:rsid w:val="00E67FE4"/>
    <w:rsid w:val="00EA7697"/>
    <w:rsid w:val="00EB183E"/>
    <w:rsid w:val="00ED644E"/>
    <w:rsid w:val="00EF56AB"/>
    <w:rsid w:val="00F036B1"/>
    <w:rsid w:val="00F1544F"/>
    <w:rsid w:val="00F3022F"/>
    <w:rsid w:val="00F311CE"/>
    <w:rsid w:val="00F34AED"/>
    <w:rsid w:val="00F4745C"/>
    <w:rsid w:val="00F608A0"/>
    <w:rsid w:val="00F64EFE"/>
    <w:rsid w:val="00F704B1"/>
    <w:rsid w:val="00F7347F"/>
    <w:rsid w:val="00F76117"/>
    <w:rsid w:val="00F925A7"/>
    <w:rsid w:val="00F942DF"/>
    <w:rsid w:val="00F94850"/>
    <w:rsid w:val="00F975A7"/>
    <w:rsid w:val="00FA5449"/>
    <w:rsid w:val="00FB3001"/>
    <w:rsid w:val="00FB35DA"/>
    <w:rsid w:val="00FB58DB"/>
    <w:rsid w:val="00FC187C"/>
    <w:rsid w:val="00FC73C9"/>
    <w:rsid w:val="00FC78A3"/>
    <w:rsid w:val="00FD111A"/>
    <w:rsid w:val="00FD6EB2"/>
    <w:rsid w:val="00FE0A49"/>
    <w:rsid w:val="00FF17BC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BE284"/>
  <w15:chartTrackingRefBased/>
  <w15:docId w15:val="{AE166D19-B735-4D5E-AA94-A4810DB3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449"/>
    <w:rPr>
      <w:rFonts w:ascii="Garamond" w:hAnsi="Garamond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F5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11D36"/>
    <w:pPr>
      <w:spacing w:after="240"/>
      <w:jc w:val="both"/>
    </w:pPr>
    <w:rPr>
      <w:spacing w:val="-5"/>
      <w:sz w:val="24"/>
    </w:rPr>
  </w:style>
  <w:style w:type="paragraph" w:styleId="Indeks1">
    <w:name w:val="index 1"/>
    <w:basedOn w:val="Normalny"/>
    <w:semiHidden/>
    <w:rsid w:val="00611D36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Nagwek">
    <w:name w:val="header"/>
    <w:basedOn w:val="Normalny"/>
    <w:rsid w:val="00611D36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Tekstpodstawowy2">
    <w:name w:val="Body Text 2"/>
    <w:basedOn w:val="Normalny"/>
    <w:rsid w:val="00611D36"/>
    <w:pPr>
      <w:spacing w:after="120" w:line="480" w:lineRule="auto"/>
    </w:pPr>
  </w:style>
  <w:style w:type="paragraph" w:styleId="Tekstdymka">
    <w:name w:val="Balloon Text"/>
    <w:basedOn w:val="Normalny"/>
    <w:semiHidden/>
    <w:rsid w:val="00404524"/>
    <w:rPr>
      <w:rFonts w:ascii="Tahoma" w:hAnsi="Tahoma" w:cs="Tahoma"/>
      <w:szCs w:val="16"/>
    </w:rPr>
  </w:style>
  <w:style w:type="paragraph" w:styleId="Tekstpodstawowywcity">
    <w:name w:val="Body Text Indent"/>
    <w:basedOn w:val="Normalny"/>
    <w:rsid w:val="00C10B4C"/>
    <w:pPr>
      <w:spacing w:after="120"/>
      <w:ind w:left="283"/>
    </w:p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10B4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topka">
    <w:name w:val="footer"/>
    <w:basedOn w:val="Normalny"/>
    <w:rsid w:val="00447A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A90"/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110E1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kstprzypisudolnego">
    <w:name w:val="footnote text"/>
    <w:aliases w:val="Podrozdział,Footnote,Podrozdzia3,Przypis,-E Fuﬂnotentext,Fuﬂnotentext Ursprung,Fußnotentext Ursprung,-E Fußnotentext,Footnote Text Char1,Footnote Text Char2 Char,Footnote Text Char1 Char1 Char,Footnote Text Char2,Plonk,footnote te"/>
    <w:basedOn w:val="Normalny"/>
    <w:link w:val="TekstprzypisudolnegoZnak"/>
    <w:uiPriority w:val="99"/>
    <w:rsid w:val="004D30E9"/>
    <w:rPr>
      <w:sz w:val="20"/>
    </w:rPr>
  </w:style>
  <w:style w:type="character" w:styleId="Odwoanieprzypisudolnego">
    <w:name w:val="footnote reference"/>
    <w:aliases w:val="Footnote Reference Number"/>
    <w:uiPriority w:val="99"/>
    <w:semiHidden/>
    <w:rsid w:val="004D30E9"/>
    <w:rPr>
      <w:vertAlign w:val="superscript"/>
    </w:rPr>
  </w:style>
  <w:style w:type="character" w:styleId="Odwoaniedokomentarza">
    <w:name w:val="annotation reference"/>
    <w:uiPriority w:val="99"/>
    <w:semiHidden/>
    <w:rsid w:val="00446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468E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68EF"/>
    <w:rPr>
      <w:b/>
      <w:bCs/>
    </w:rPr>
  </w:style>
  <w:style w:type="paragraph" w:styleId="Poprawka">
    <w:name w:val="Revision"/>
    <w:hidden/>
    <w:uiPriority w:val="99"/>
    <w:semiHidden/>
    <w:rsid w:val="00B50C43"/>
    <w:rPr>
      <w:rFonts w:ascii="Garamond" w:hAnsi="Garamond"/>
      <w:sz w:val="16"/>
    </w:rPr>
  </w:style>
  <w:style w:type="character" w:styleId="Hipercze">
    <w:name w:val="Hyperlink"/>
    <w:uiPriority w:val="99"/>
    <w:unhideWhenUsed/>
    <w:rsid w:val="00A00B21"/>
    <w:rPr>
      <w:color w:val="0000FF"/>
      <w:u w:val="single"/>
    </w:rPr>
  </w:style>
  <w:style w:type="character" w:styleId="Uwydatnienie">
    <w:name w:val="Emphasis"/>
    <w:uiPriority w:val="20"/>
    <w:qFormat/>
    <w:rsid w:val="002735BD"/>
    <w:rPr>
      <w:i/>
      <w:iCs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6F525D"/>
    <w:rPr>
      <w:sz w:val="24"/>
      <w:szCs w:val="24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F525D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lid-translation">
    <w:name w:val="tlid-translation"/>
    <w:rsid w:val="006F525D"/>
  </w:style>
  <w:style w:type="paragraph" w:customStyle="1" w:styleId="Default">
    <w:name w:val="Default"/>
    <w:rsid w:val="00F975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311CE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xt1">
    <w:name w:val="Text 1"/>
    <w:basedOn w:val="Normalny"/>
    <w:link w:val="Text1Char"/>
    <w:rsid w:val="004A7CBF"/>
    <w:pPr>
      <w:spacing w:before="120" w:after="120"/>
      <w:ind w:left="850"/>
      <w:jc w:val="both"/>
    </w:pPr>
    <w:rPr>
      <w:rFonts w:ascii="Times New Roman" w:hAnsi="Times New Roman"/>
      <w:sz w:val="24"/>
      <w:szCs w:val="24"/>
      <w:lang w:val="x-none" w:eastAsia="en-US"/>
    </w:rPr>
  </w:style>
  <w:style w:type="character" w:customStyle="1" w:styleId="Text1Char">
    <w:name w:val="Text 1 Char"/>
    <w:link w:val="Text1"/>
    <w:locked/>
    <w:rsid w:val="004A7CBF"/>
    <w:rPr>
      <w:sz w:val="24"/>
      <w:szCs w:val="24"/>
      <w:lang w:val="x-none" w:eastAsia="en-US"/>
    </w:rPr>
  </w:style>
  <w:style w:type="paragraph" w:customStyle="1" w:styleId="Akapit">
    <w:name w:val="Akapit"/>
    <w:basedOn w:val="Nagwek6"/>
    <w:rsid w:val="004D0F57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D0F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ootnote Text Char1 Znak,Footnote Text Char2 Char Znak,Plonk Znak"/>
    <w:link w:val="Tekstprzypisudolnego"/>
    <w:uiPriority w:val="99"/>
    <w:rsid w:val="005C4235"/>
    <w:rPr>
      <w:rFonts w:ascii="Garamond" w:hAnsi="Garamond"/>
    </w:rPr>
  </w:style>
  <w:style w:type="paragraph" w:customStyle="1" w:styleId="mainpub">
    <w:name w:val="mainpub"/>
    <w:basedOn w:val="Normalny"/>
    <w:rsid w:val="005C4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lb-s">
    <w:name w:val="a_lb-s"/>
    <w:rsid w:val="00275FCB"/>
  </w:style>
  <w:style w:type="character" w:styleId="Nierozpoznanawzmianka">
    <w:name w:val="Unresolved Mention"/>
    <w:uiPriority w:val="99"/>
    <w:semiHidden/>
    <w:unhideWhenUsed/>
    <w:rsid w:val="0052160E"/>
    <w:rPr>
      <w:color w:val="605E5C"/>
      <w:shd w:val="clear" w:color="auto" w:fill="E1DFDD"/>
    </w:rPr>
  </w:style>
  <w:style w:type="character" w:customStyle="1" w:styleId="TekstkomentarzaZnak">
    <w:name w:val="Tekst komentarza Znak"/>
    <w:link w:val="Tekstkomentarza"/>
    <w:uiPriority w:val="99"/>
    <w:rsid w:val="0052160E"/>
    <w:rPr>
      <w:rFonts w:ascii="Garamond" w:hAnsi="Garamond"/>
    </w:rPr>
  </w:style>
  <w:style w:type="character" w:styleId="UyteHipercze">
    <w:name w:val="FollowedHyperlink"/>
    <w:uiPriority w:val="99"/>
    <w:semiHidden/>
    <w:unhideWhenUsed/>
    <w:rsid w:val="00B1262C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62C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262C"/>
    <w:rPr>
      <w:rFonts w:ascii="Garamond" w:hAnsi="Garamond"/>
    </w:rPr>
  </w:style>
  <w:style w:type="character" w:styleId="Odwoanieprzypisukocowego">
    <w:name w:val="endnote reference"/>
    <w:uiPriority w:val="99"/>
    <w:semiHidden/>
    <w:unhideWhenUsed/>
    <w:rsid w:val="00B1262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76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unduszeeuropejskie.gov.pl/media/112343/Wytyczne_dotyczace_kwalifikowalnosci_2021_202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2343/Wytyczne_dotyczace_kwalifikowalnosci_2021_2027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F36B-BF1D-48BB-BB6D-536E3EC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RWP Katalog wydatków kwalifikowanych</vt:lpstr>
    </vt:vector>
  </TitlesOfParts>
  <Company>NFOSiGW</Company>
  <LinksUpToDate>false</LinksUpToDate>
  <CharactersWithSpaces>2207</CharactersWithSpaces>
  <SharedDoc>false</SharedDoc>
  <HLinks>
    <vt:vector size="18" baseType="variant">
      <vt:variant>
        <vt:i4>983052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RWP Katalog wydatków kwalifikowanych</dc:title>
  <dc:subject/>
  <dc:creator>AJendrulek</dc:creator>
  <cp:keywords/>
  <dc:description/>
  <cp:lastModifiedBy>Wójcik-Napiórkowska Beata</cp:lastModifiedBy>
  <cp:revision>3</cp:revision>
  <cp:lastPrinted>2024-04-02T09:12:00Z</cp:lastPrinted>
  <dcterms:created xsi:type="dcterms:W3CDTF">2026-05-21T08:24:00Z</dcterms:created>
  <dcterms:modified xsi:type="dcterms:W3CDTF">2026-06-10T09:25:00Z</dcterms:modified>
</cp:coreProperties>
</file>